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EFE8" w14:textId="77777777" w:rsidR="0023097C" w:rsidRPr="00B6254E" w:rsidRDefault="0023097C" w:rsidP="002234F7">
      <w:pPr>
        <w:spacing w:after="0"/>
        <w:jc w:val="center"/>
        <w:rPr>
          <w:lang w:val="en-US"/>
        </w:rPr>
      </w:pPr>
      <w:r w:rsidRPr="00B6254E">
        <w:rPr>
          <w:b/>
          <w:sz w:val="28"/>
          <w:lang w:val="en-US"/>
        </w:rPr>
        <w:t>TITLE OF THE PAPER</w:t>
      </w:r>
      <w:r w:rsidRPr="00B6254E">
        <w:rPr>
          <w:lang w:val="en-US"/>
        </w:rPr>
        <w:t xml:space="preserve"> (</w:t>
      </w:r>
      <w:r w:rsidR="002234F7" w:rsidRPr="00B6254E">
        <w:rPr>
          <w:lang w:val="en-US"/>
        </w:rPr>
        <w:t>Center</w:t>
      </w:r>
      <w:r w:rsidRPr="00B6254E">
        <w:rPr>
          <w:lang w:val="en-US"/>
        </w:rPr>
        <w:t xml:space="preserve"> aligned; Calibri; Upper case; 14 points; Bold)</w:t>
      </w:r>
    </w:p>
    <w:p w14:paraId="063F4152" w14:textId="77777777" w:rsidR="0023097C" w:rsidRPr="00B6254E" w:rsidRDefault="0023097C" w:rsidP="002234F7">
      <w:pPr>
        <w:spacing w:after="0"/>
        <w:jc w:val="center"/>
        <w:rPr>
          <w:i/>
          <w:color w:val="BFBFBF" w:themeColor="background1" w:themeShade="BF"/>
          <w:lang w:val="en-US"/>
        </w:rPr>
      </w:pPr>
      <w:r w:rsidRPr="00B6254E">
        <w:rPr>
          <w:i/>
          <w:color w:val="BFBFBF" w:themeColor="background1" w:themeShade="BF"/>
          <w:lang w:val="en-US"/>
        </w:rPr>
        <w:t>(one line space)</w:t>
      </w:r>
    </w:p>
    <w:p w14:paraId="43B99672" w14:textId="77777777" w:rsidR="0023097C" w:rsidRDefault="0023097C" w:rsidP="002234F7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First A. Author</w:t>
      </w:r>
      <w:r>
        <w:rPr>
          <w:b/>
          <w:vertAlign w:val="superscript"/>
          <w:lang w:val="en-US"/>
        </w:rPr>
        <w:t>1</w:t>
      </w:r>
      <w:r>
        <w:rPr>
          <w:b/>
          <w:lang w:val="en-US"/>
        </w:rPr>
        <w:t>, Second B. Author</w:t>
      </w:r>
      <w:r w:rsidRPr="0040322F">
        <w:rPr>
          <w:b/>
          <w:vertAlign w:val="superscript"/>
          <w:lang w:val="en-US"/>
        </w:rPr>
        <w:t>1,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and Third C. Author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</w:t>
      </w:r>
      <w:r w:rsidRPr="00B6254E">
        <w:rPr>
          <w:lang w:val="en-US"/>
        </w:rPr>
        <w:t>(</w:t>
      </w:r>
      <w:r w:rsidR="002234F7" w:rsidRPr="00B6254E">
        <w:rPr>
          <w:lang w:val="en-US"/>
        </w:rPr>
        <w:t xml:space="preserve">Center </w:t>
      </w:r>
      <w:r w:rsidRPr="00B6254E">
        <w:rPr>
          <w:lang w:val="en-US"/>
        </w:rPr>
        <w:t>aligned; Calibri; Lower case; 11 points; Bold)</w:t>
      </w:r>
    </w:p>
    <w:p w14:paraId="41CD5AF9" w14:textId="77777777" w:rsidR="0023097C" w:rsidRPr="00B6254E" w:rsidRDefault="0023097C" w:rsidP="002234F7">
      <w:pPr>
        <w:spacing w:after="0"/>
        <w:jc w:val="center"/>
        <w:rPr>
          <w:i/>
          <w:color w:val="BFBFBF" w:themeColor="background1" w:themeShade="BF"/>
          <w:lang w:val="en-US"/>
        </w:rPr>
      </w:pPr>
      <w:r w:rsidRPr="00B6254E">
        <w:rPr>
          <w:i/>
          <w:color w:val="BFBFBF" w:themeColor="background1" w:themeShade="BF"/>
          <w:lang w:val="en-US"/>
        </w:rPr>
        <w:t>(one line space)</w:t>
      </w:r>
    </w:p>
    <w:p w14:paraId="7E27C7D6" w14:textId="77777777" w:rsidR="0023097C" w:rsidRDefault="0023097C" w:rsidP="002234F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 Authors’ Department, Institute, COUNTRY.</w:t>
      </w:r>
    </w:p>
    <w:p w14:paraId="572A6496" w14:textId="77777777" w:rsidR="0023097C" w:rsidRDefault="0023097C" w:rsidP="002234F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i/>
          <w:iCs/>
        </w:rPr>
      </w:pPr>
      <w:r>
        <w:t xml:space="preserve">(E-mail: </w:t>
      </w:r>
      <w:proofErr w:type="spellStart"/>
      <w:r>
        <w:t>firstauthor@aaaa.bbb</w:t>
      </w:r>
      <w:proofErr w:type="spellEnd"/>
      <w:r>
        <w:t xml:space="preserve">, </w:t>
      </w:r>
      <w:proofErr w:type="spellStart"/>
      <w:r>
        <w:t>secondauthor@aaaa.bbb</w:t>
      </w:r>
      <w:proofErr w:type="spellEnd"/>
      <w:r>
        <w:t>)</w:t>
      </w:r>
    </w:p>
    <w:p w14:paraId="1061B479" w14:textId="77777777" w:rsidR="0023097C" w:rsidRDefault="0023097C" w:rsidP="002234F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 Author’s Department, Institute, COUNTRY.</w:t>
      </w:r>
    </w:p>
    <w:p w14:paraId="0F55419A" w14:textId="77777777" w:rsidR="0023097C" w:rsidRPr="00B6254E" w:rsidRDefault="0023097C" w:rsidP="002234F7">
      <w:pPr>
        <w:spacing w:after="0"/>
        <w:jc w:val="center"/>
        <w:rPr>
          <w:lang w:val="en-US"/>
        </w:rPr>
      </w:pPr>
      <w:r w:rsidRPr="00B6254E">
        <w:rPr>
          <w:lang w:val="en-US"/>
        </w:rPr>
        <w:t>(E-mail: thirdauthor@aaaa.bbb)</w:t>
      </w:r>
    </w:p>
    <w:p w14:paraId="54C27AE6" w14:textId="77777777" w:rsidR="0023097C" w:rsidRPr="00B6254E" w:rsidRDefault="0023097C" w:rsidP="002234F7">
      <w:pPr>
        <w:spacing w:after="0"/>
        <w:jc w:val="center"/>
        <w:rPr>
          <w:i/>
          <w:color w:val="BFBFBF" w:themeColor="background1" w:themeShade="BF"/>
          <w:lang w:val="en-US"/>
        </w:rPr>
      </w:pPr>
      <w:r w:rsidRPr="00B6254E">
        <w:rPr>
          <w:i/>
          <w:color w:val="BFBFBF" w:themeColor="background1" w:themeShade="BF"/>
          <w:lang w:val="en-US"/>
        </w:rPr>
        <w:t>(one line space)</w:t>
      </w:r>
    </w:p>
    <w:p w14:paraId="43F1AE1C" w14:textId="77777777" w:rsidR="0023097C" w:rsidRPr="00B6254E" w:rsidRDefault="0023097C" w:rsidP="002234F7">
      <w:pPr>
        <w:spacing w:after="0"/>
        <w:jc w:val="center"/>
        <w:rPr>
          <w:i/>
          <w:color w:val="BFBFBF" w:themeColor="background1" w:themeShade="BF"/>
          <w:lang w:val="en-US"/>
        </w:rPr>
      </w:pPr>
      <w:r w:rsidRPr="00B6254E">
        <w:rPr>
          <w:i/>
          <w:color w:val="BFBFBF" w:themeColor="background1" w:themeShade="BF"/>
          <w:lang w:val="en-US"/>
        </w:rPr>
        <w:t>(one line space)</w:t>
      </w:r>
    </w:p>
    <w:p w14:paraId="29B138DF" w14:textId="77777777" w:rsidR="0023097C" w:rsidRPr="00B6254E" w:rsidRDefault="0023097C" w:rsidP="0023097C">
      <w:pPr>
        <w:spacing w:after="0"/>
        <w:rPr>
          <w:lang w:val="en-US"/>
        </w:rPr>
      </w:pPr>
      <w:r>
        <w:rPr>
          <w:b/>
          <w:lang w:val="en-US"/>
        </w:rPr>
        <w:t xml:space="preserve">ABSTRACT </w:t>
      </w:r>
      <w:r w:rsidRPr="00B6254E">
        <w:rPr>
          <w:lang w:val="en-US"/>
        </w:rPr>
        <w:t>(Left aligned; Calibri; Upper case; 11 points; Bold)</w:t>
      </w:r>
    </w:p>
    <w:p w14:paraId="0EDF8E8B" w14:textId="77777777" w:rsidR="0023097C" w:rsidRPr="00B6254E" w:rsidRDefault="0023097C" w:rsidP="0023097C">
      <w:pPr>
        <w:spacing w:after="0"/>
        <w:rPr>
          <w:i/>
          <w:color w:val="BFBFBF" w:themeColor="background1" w:themeShade="BF"/>
          <w:lang w:val="en-US"/>
        </w:rPr>
      </w:pPr>
      <w:r w:rsidRPr="00B6254E">
        <w:rPr>
          <w:i/>
          <w:color w:val="BFBFBF" w:themeColor="background1" w:themeShade="BF"/>
          <w:lang w:val="en-US"/>
        </w:rPr>
        <w:t>(one line space)</w:t>
      </w:r>
    </w:p>
    <w:p w14:paraId="316C2192" w14:textId="77777777" w:rsidR="0023097C" w:rsidRPr="00B6254E" w:rsidRDefault="0023097C" w:rsidP="0023097C">
      <w:pPr>
        <w:spacing w:after="0"/>
        <w:rPr>
          <w:lang w:val="en-US"/>
        </w:rPr>
      </w:pPr>
      <w:r w:rsidRPr="00B6254E">
        <w:rPr>
          <w:lang w:val="en-US"/>
        </w:rPr>
        <w:t>The text of the extended abstract (Left and Right justified, Calibri, 11 points, single spaced) should provide a synthetic and clear description of the work to be presented, including essential information such as: background, aim and scope of the work; adopted methods and techniques; elements of novelty; main achievements and conclusions. Information on measurement uncertainty is highly recommended.</w:t>
      </w:r>
    </w:p>
    <w:p w14:paraId="1C50A4EC" w14:textId="77777777" w:rsidR="0023097C" w:rsidRPr="00B6254E" w:rsidRDefault="0023097C" w:rsidP="0023097C">
      <w:pPr>
        <w:spacing w:after="0"/>
        <w:rPr>
          <w:lang w:val="en-US"/>
        </w:rPr>
      </w:pPr>
      <w:r w:rsidRPr="00B6254E">
        <w:rPr>
          <w:lang w:val="en-US"/>
        </w:rPr>
        <w:t xml:space="preserve">The number of words should preferably be in the range </w:t>
      </w:r>
      <w:r w:rsidRPr="00B6254E">
        <w:rPr>
          <w:b/>
          <w:lang w:val="en-US"/>
        </w:rPr>
        <w:t>600 to 800</w:t>
      </w:r>
      <w:r w:rsidRPr="00B6254E">
        <w:rPr>
          <w:lang w:val="en-US"/>
        </w:rPr>
        <w:t>. Figures are allowed, but should be limited to one or two. No equations and no tables should be included, unless absolutely necessary.</w:t>
      </w:r>
    </w:p>
    <w:p w14:paraId="5CD3C521" w14:textId="77777777" w:rsidR="0023097C" w:rsidRDefault="0023097C" w:rsidP="0023097C">
      <w:pPr>
        <w:spacing w:after="0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 xml:space="preserve">(one line </w:t>
      </w:r>
      <w:proofErr w:type="spellStart"/>
      <w:r>
        <w:rPr>
          <w:i/>
          <w:color w:val="BFBFBF" w:themeColor="background1" w:themeShade="BF"/>
        </w:rPr>
        <w:t>space</w:t>
      </w:r>
      <w:proofErr w:type="spellEnd"/>
      <w:r>
        <w:rPr>
          <w:i/>
          <w:color w:val="BFBFBF" w:themeColor="background1" w:themeShade="BF"/>
        </w:rPr>
        <w:t>)</w:t>
      </w:r>
    </w:p>
    <w:p w14:paraId="433E6332" w14:textId="77777777" w:rsidR="0023097C" w:rsidRDefault="0023097C" w:rsidP="0023097C">
      <w:pPr>
        <w:spacing w:after="0"/>
        <w:jc w:val="center"/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2F4AD1BF" wp14:editId="645D5B22">
                <wp:extent cx="3535200" cy="1857600"/>
                <wp:effectExtent l="0" t="0" r="27305" b="28575"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18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EE624" w14:textId="77777777" w:rsidR="0023097C" w:rsidRDefault="0023097C" w:rsidP="0023097C">
                            <w:pPr>
                              <w:jc w:val="center"/>
                            </w:pPr>
                            <w: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4AD1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78.3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" fillcolor="white [3201]" strokeweight=".5pt">
                <v:textbox>
                  <w:txbxContent>
                    <w:p w14:paraId="357EE624" w14:textId="77777777" w:rsidR="0023097C" w:rsidRDefault="0023097C" w:rsidP="0023097C">
                      <w:pPr>
                        <w:jc w:val="center"/>
                      </w:pPr>
                      <w:r>
                        <w:t>Figure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4FCC51" w14:textId="77777777" w:rsidR="0023097C" w:rsidRPr="00B6254E" w:rsidRDefault="0023097C" w:rsidP="0023097C">
      <w:pPr>
        <w:spacing w:after="0"/>
        <w:jc w:val="center"/>
        <w:rPr>
          <w:i/>
          <w:color w:val="BFBFBF" w:themeColor="background1" w:themeShade="BF"/>
          <w:sz w:val="20"/>
          <w:lang w:val="en-US"/>
        </w:rPr>
      </w:pPr>
      <w:r w:rsidRPr="00B6254E">
        <w:rPr>
          <w:b/>
          <w:i/>
          <w:sz w:val="20"/>
          <w:lang w:val="en-US"/>
        </w:rPr>
        <w:t>Figure 1</w:t>
      </w:r>
      <w:r w:rsidRPr="00B6254E">
        <w:rPr>
          <w:i/>
          <w:sz w:val="20"/>
          <w:lang w:val="en-US"/>
        </w:rPr>
        <w:t>. (Calibri; Lower case; 10 points; Bold; Italic) Figure caption (Calibri; Lower case; 10 points; Italic)</w:t>
      </w:r>
    </w:p>
    <w:p w14:paraId="705E2613" w14:textId="77777777" w:rsidR="0023097C" w:rsidRPr="00B6254E" w:rsidRDefault="0023097C" w:rsidP="0023097C">
      <w:pPr>
        <w:spacing w:after="0"/>
        <w:rPr>
          <w:i/>
          <w:color w:val="BFBFBF" w:themeColor="background1" w:themeShade="BF"/>
          <w:lang w:val="en-US"/>
        </w:rPr>
      </w:pPr>
      <w:r w:rsidRPr="00B6254E">
        <w:rPr>
          <w:i/>
          <w:color w:val="BFBFBF" w:themeColor="background1" w:themeShade="BF"/>
          <w:lang w:val="en-US"/>
        </w:rPr>
        <w:t>(one line space)</w:t>
      </w:r>
    </w:p>
    <w:p w14:paraId="66E7A142" w14:textId="77777777" w:rsidR="0023097C" w:rsidRPr="00B6254E" w:rsidRDefault="0023097C" w:rsidP="0023097C">
      <w:pPr>
        <w:spacing w:after="0"/>
        <w:rPr>
          <w:lang w:val="en-US"/>
        </w:rPr>
      </w:pPr>
      <w:r>
        <w:rPr>
          <w:b/>
          <w:lang w:val="en-US"/>
        </w:rPr>
        <w:t xml:space="preserve">KEYWORDS: </w:t>
      </w:r>
      <w:r w:rsidRPr="00B6254E">
        <w:rPr>
          <w:lang w:val="en-US"/>
        </w:rPr>
        <w:t>(Calibri; Upper case; 11 points; Bold) Up to 6 keywords arranged in alphabetical order (Left and Right justified; Calibri; Upper case; 11 points; Bold)</w:t>
      </w:r>
    </w:p>
    <w:p w14:paraId="5F2252A4" w14:textId="77777777" w:rsidR="0023097C" w:rsidRPr="00B6254E" w:rsidRDefault="0023097C" w:rsidP="0023097C">
      <w:pPr>
        <w:spacing w:after="0"/>
        <w:rPr>
          <w:i/>
          <w:color w:val="BFBFBF" w:themeColor="background1" w:themeShade="BF"/>
          <w:lang w:val="en-US"/>
        </w:rPr>
      </w:pPr>
      <w:r w:rsidRPr="00B6254E">
        <w:rPr>
          <w:i/>
          <w:color w:val="BFBFBF" w:themeColor="background1" w:themeShade="BF"/>
          <w:lang w:val="en-US"/>
        </w:rPr>
        <w:t>(one line space)</w:t>
      </w:r>
    </w:p>
    <w:p w14:paraId="42C94C79" w14:textId="77777777" w:rsidR="0023097C" w:rsidRDefault="0023097C" w:rsidP="0023097C">
      <w:pPr>
        <w:spacing w:after="0"/>
      </w:pPr>
      <w:r>
        <w:rPr>
          <w:b/>
          <w:lang w:val="en-US"/>
        </w:rPr>
        <w:t xml:space="preserve">ACKNOWLEDGEMENTS: </w:t>
      </w:r>
      <w:r w:rsidRPr="00B6254E">
        <w:rPr>
          <w:lang w:val="en-US"/>
        </w:rPr>
        <w:t xml:space="preserve">(Calibri; Upper case; 11 points; Bold) Authors’ expressions of appreciation for… </w:t>
      </w:r>
      <w:r>
        <w:t xml:space="preserve">(Left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>; Calibri; Lower case; 11 points)</w:t>
      </w:r>
    </w:p>
    <w:sdt>
      <w:sdtPr>
        <w:rPr>
          <w:b/>
          <w:bCs/>
        </w:rPr>
        <w:id w:val="-1349715503"/>
        <w:docPartObj>
          <w:docPartGallery w:val="Bibliographies"/>
          <w:docPartUnique/>
        </w:docPartObj>
      </w:sdtPr>
      <w:sdtEndPr>
        <w:rPr>
          <w:b w:val="0"/>
          <w:bCs w:val="0"/>
        </w:rPr>
      </w:sdtEndPr>
      <w:sdtContent>
        <w:sdt>
          <w:sdtPr>
            <w:id w:val="111145805"/>
            <w:showingPlcHdr/>
            <w:bibliography/>
          </w:sdtPr>
          <w:sdtEndPr>
            <w:rPr>
              <w:lang w:val="en-US"/>
            </w:rPr>
          </w:sdtEndPr>
          <w:sdtContent>
            <w:p w14:paraId="3F879134" w14:textId="77777777" w:rsidR="001C0C6B" w:rsidRPr="006048ED" w:rsidRDefault="00F846F1" w:rsidP="006048ED">
              <w:pPr>
                <w:rPr>
                  <w:lang w:val="de-DE"/>
                </w:rPr>
              </w:pPr>
              <w:r>
                <w:t xml:space="preserve">     </w:t>
              </w:r>
            </w:p>
          </w:sdtContent>
        </w:sdt>
      </w:sdtContent>
    </w:sdt>
    <w:sectPr w:rsidR="001C0C6B" w:rsidRPr="006048E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933EB" w14:textId="77777777" w:rsidR="007F0178" w:rsidRDefault="007F0178">
      <w:pPr>
        <w:spacing w:after="0" w:line="240" w:lineRule="auto"/>
      </w:pPr>
      <w:r>
        <w:separator/>
      </w:r>
    </w:p>
  </w:endnote>
  <w:endnote w:type="continuationSeparator" w:id="0">
    <w:p w14:paraId="26997F56" w14:textId="77777777" w:rsidR="007F0178" w:rsidRDefault="007F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4973" w14:textId="77777777" w:rsidR="007F0178" w:rsidRDefault="007F0178">
      <w:pPr>
        <w:spacing w:after="0" w:line="240" w:lineRule="auto"/>
      </w:pPr>
      <w:r>
        <w:separator/>
      </w:r>
    </w:p>
  </w:footnote>
  <w:footnote w:type="continuationSeparator" w:id="0">
    <w:p w14:paraId="1BD098F8" w14:textId="77777777" w:rsidR="007F0178" w:rsidRDefault="007F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F1AB" w14:textId="77777777" w:rsidR="006048ED" w:rsidRDefault="006048ED">
    <w:pPr>
      <w:pStyle w:val="Kopfzeile"/>
      <w:rPr>
        <w:sz w:val="18"/>
        <w:lang w:val="en-US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387"/>
      <w:gridCol w:w="283"/>
      <w:gridCol w:w="3356"/>
    </w:tblGrid>
    <w:tr w:rsidR="00591B8E" w:rsidRPr="00B6254E" w14:paraId="2C8423E9" w14:textId="77777777" w:rsidTr="00B6254E">
      <w:tc>
        <w:tcPr>
          <w:tcW w:w="5387" w:type="dxa"/>
        </w:tcPr>
        <w:p w14:paraId="0D5300BF" w14:textId="1DA6A090" w:rsidR="00591B8E" w:rsidRPr="00637C9E" w:rsidRDefault="00A80B27" w:rsidP="005751EA">
          <w:pPr>
            <w:pStyle w:val="Kopfzeile"/>
            <w:rPr>
              <w:b/>
              <w:bCs/>
              <w:iCs/>
              <w:sz w:val="18"/>
              <w:lang w:val="en-US"/>
            </w:rPr>
          </w:pPr>
          <w:r w:rsidRPr="00637C9E">
            <w:rPr>
              <w:b/>
              <w:bCs/>
              <w:iCs/>
              <w:sz w:val="18"/>
              <w:lang w:val="en-US"/>
            </w:rPr>
            <w:t>Hannover Transplant Summit 2024</w:t>
          </w:r>
        </w:p>
      </w:tc>
      <w:tc>
        <w:tcPr>
          <w:tcW w:w="283" w:type="dxa"/>
        </w:tcPr>
        <w:p w14:paraId="445047C6" w14:textId="77777777" w:rsidR="00591B8E" w:rsidRDefault="00591B8E">
          <w:pPr>
            <w:pStyle w:val="Kopfzeile"/>
            <w:jc w:val="right"/>
            <w:rPr>
              <w:b/>
              <w:sz w:val="18"/>
              <w:lang w:val="en-US"/>
            </w:rPr>
          </w:pPr>
        </w:p>
      </w:tc>
      <w:tc>
        <w:tcPr>
          <w:tcW w:w="3356" w:type="dxa"/>
        </w:tcPr>
        <w:p w14:paraId="29408D94" w14:textId="6AC72529" w:rsidR="00591B8E" w:rsidRDefault="00B6254E" w:rsidP="00391072">
          <w:pPr>
            <w:pStyle w:val="Kopfzeile"/>
            <w:jc w:val="right"/>
            <w:rPr>
              <w:sz w:val="18"/>
              <w:lang w:val="en-US"/>
            </w:rPr>
          </w:pPr>
          <w:r>
            <w:rPr>
              <w:sz w:val="18"/>
              <w:lang w:val="en-US"/>
            </w:rPr>
            <w:t>Hannover</w:t>
          </w:r>
          <w:r w:rsidR="00591B8E">
            <w:rPr>
              <w:sz w:val="18"/>
              <w:lang w:val="en-US"/>
            </w:rPr>
            <w:t xml:space="preserve">, Germany, </w:t>
          </w:r>
          <w:r>
            <w:rPr>
              <w:sz w:val="18"/>
              <w:lang w:val="en-US"/>
            </w:rPr>
            <w:t>21</w:t>
          </w:r>
          <w:r w:rsidR="00591B8E">
            <w:rPr>
              <w:sz w:val="18"/>
              <w:lang w:val="en-US"/>
            </w:rPr>
            <w:t>-2</w:t>
          </w:r>
          <w:r>
            <w:rPr>
              <w:sz w:val="18"/>
              <w:lang w:val="en-US"/>
            </w:rPr>
            <w:t>2</w:t>
          </w:r>
          <w:r w:rsidR="00591B8E">
            <w:rPr>
              <w:sz w:val="18"/>
              <w:lang w:val="en-US"/>
            </w:rPr>
            <w:t xml:space="preserve"> </w:t>
          </w:r>
          <w:r>
            <w:rPr>
              <w:sz w:val="18"/>
              <w:lang w:val="en-US"/>
            </w:rPr>
            <w:t>November</w:t>
          </w:r>
          <w:r w:rsidR="00591B8E">
            <w:rPr>
              <w:sz w:val="18"/>
              <w:lang w:val="en-US"/>
            </w:rPr>
            <w:t xml:space="preserve"> 2024</w:t>
          </w:r>
        </w:p>
      </w:tc>
    </w:tr>
  </w:tbl>
  <w:p w14:paraId="64625D83" w14:textId="77777777" w:rsidR="006048ED" w:rsidRDefault="006048ED">
    <w:pPr>
      <w:pStyle w:val="Kopfzeile"/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47D"/>
    <w:multiLevelType w:val="hybridMultilevel"/>
    <w:tmpl w:val="A0883104"/>
    <w:lvl w:ilvl="0" w:tplc="838CF9C4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8AEAD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ED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29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24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04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CF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AA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76131"/>
    <w:multiLevelType w:val="hybridMultilevel"/>
    <w:tmpl w:val="B6321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5A49"/>
    <w:multiLevelType w:val="multilevel"/>
    <w:tmpl w:val="B15EF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AF1615"/>
    <w:multiLevelType w:val="hybridMultilevel"/>
    <w:tmpl w:val="BFBE6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5883"/>
    <w:multiLevelType w:val="hybridMultilevel"/>
    <w:tmpl w:val="A0883104"/>
    <w:lvl w:ilvl="0" w:tplc="6016B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181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01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EF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6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6E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F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2C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07865"/>
    <w:multiLevelType w:val="hybridMultilevel"/>
    <w:tmpl w:val="19C03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37B8"/>
    <w:multiLevelType w:val="multilevel"/>
    <w:tmpl w:val="243C88A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C0813B8"/>
    <w:multiLevelType w:val="hybridMultilevel"/>
    <w:tmpl w:val="4524FF02"/>
    <w:lvl w:ilvl="0" w:tplc="C69AA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1A4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0A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6F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0A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8B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29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67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5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5515128">
    <w:abstractNumId w:val="6"/>
  </w:num>
  <w:num w:numId="2" w16cid:durableId="2088571743">
    <w:abstractNumId w:val="7"/>
  </w:num>
  <w:num w:numId="3" w16cid:durableId="1473936529">
    <w:abstractNumId w:val="0"/>
  </w:num>
  <w:num w:numId="4" w16cid:durableId="1683123722">
    <w:abstractNumId w:val="4"/>
  </w:num>
  <w:num w:numId="5" w16cid:durableId="2144351350">
    <w:abstractNumId w:val="3"/>
  </w:num>
  <w:num w:numId="6" w16cid:durableId="341662640">
    <w:abstractNumId w:val="2"/>
  </w:num>
  <w:num w:numId="7" w16cid:durableId="1101291783">
    <w:abstractNumId w:val="1"/>
  </w:num>
  <w:num w:numId="8" w16cid:durableId="1032609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C7"/>
    <w:rsid w:val="000210E0"/>
    <w:rsid w:val="00036E39"/>
    <w:rsid w:val="00042645"/>
    <w:rsid w:val="00056371"/>
    <w:rsid w:val="00080059"/>
    <w:rsid w:val="000A2B0A"/>
    <w:rsid w:val="000A3397"/>
    <w:rsid w:val="000B7F64"/>
    <w:rsid w:val="000C7517"/>
    <w:rsid w:val="000D31A1"/>
    <w:rsid w:val="000F12FE"/>
    <w:rsid w:val="00120D00"/>
    <w:rsid w:val="00133F2B"/>
    <w:rsid w:val="00135DFE"/>
    <w:rsid w:val="001623A0"/>
    <w:rsid w:val="001751B9"/>
    <w:rsid w:val="00190628"/>
    <w:rsid w:val="001C0C6B"/>
    <w:rsid w:val="001D54B0"/>
    <w:rsid w:val="001F4849"/>
    <w:rsid w:val="00202B64"/>
    <w:rsid w:val="002234F7"/>
    <w:rsid w:val="0023097C"/>
    <w:rsid w:val="00243B1D"/>
    <w:rsid w:val="002658EB"/>
    <w:rsid w:val="00297D34"/>
    <w:rsid w:val="00297E81"/>
    <w:rsid w:val="002A02CA"/>
    <w:rsid w:val="003018E9"/>
    <w:rsid w:val="00331639"/>
    <w:rsid w:val="00376A28"/>
    <w:rsid w:val="00391072"/>
    <w:rsid w:val="00394D01"/>
    <w:rsid w:val="003A6185"/>
    <w:rsid w:val="003C6E65"/>
    <w:rsid w:val="003C7201"/>
    <w:rsid w:val="00415F62"/>
    <w:rsid w:val="004414CE"/>
    <w:rsid w:val="0047613E"/>
    <w:rsid w:val="00486EAA"/>
    <w:rsid w:val="00494043"/>
    <w:rsid w:val="004C06C0"/>
    <w:rsid w:val="004E074E"/>
    <w:rsid w:val="0050021C"/>
    <w:rsid w:val="00506630"/>
    <w:rsid w:val="005143FE"/>
    <w:rsid w:val="00527DC7"/>
    <w:rsid w:val="0054627E"/>
    <w:rsid w:val="0056439C"/>
    <w:rsid w:val="005751EA"/>
    <w:rsid w:val="00591B8E"/>
    <w:rsid w:val="00593644"/>
    <w:rsid w:val="005C674F"/>
    <w:rsid w:val="005E6E08"/>
    <w:rsid w:val="005F654E"/>
    <w:rsid w:val="006041EA"/>
    <w:rsid w:val="006048ED"/>
    <w:rsid w:val="00604A2C"/>
    <w:rsid w:val="00637C9E"/>
    <w:rsid w:val="0064065E"/>
    <w:rsid w:val="00670990"/>
    <w:rsid w:val="0067188D"/>
    <w:rsid w:val="006B76CB"/>
    <w:rsid w:val="006C70F6"/>
    <w:rsid w:val="006E0EE6"/>
    <w:rsid w:val="007002D1"/>
    <w:rsid w:val="00704019"/>
    <w:rsid w:val="00734F57"/>
    <w:rsid w:val="00735D67"/>
    <w:rsid w:val="007834BE"/>
    <w:rsid w:val="007B54DF"/>
    <w:rsid w:val="007C6C80"/>
    <w:rsid w:val="007D1E76"/>
    <w:rsid w:val="007D58E2"/>
    <w:rsid w:val="007E4B19"/>
    <w:rsid w:val="007E7484"/>
    <w:rsid w:val="007F0178"/>
    <w:rsid w:val="007F0D2E"/>
    <w:rsid w:val="007F3556"/>
    <w:rsid w:val="007F40C7"/>
    <w:rsid w:val="007F7225"/>
    <w:rsid w:val="00801366"/>
    <w:rsid w:val="00803589"/>
    <w:rsid w:val="00806542"/>
    <w:rsid w:val="00831783"/>
    <w:rsid w:val="0084649E"/>
    <w:rsid w:val="00853A63"/>
    <w:rsid w:val="00875E52"/>
    <w:rsid w:val="008776F8"/>
    <w:rsid w:val="00881793"/>
    <w:rsid w:val="00887DC4"/>
    <w:rsid w:val="008A11BE"/>
    <w:rsid w:val="008B0E47"/>
    <w:rsid w:val="008D76BD"/>
    <w:rsid w:val="008E0BED"/>
    <w:rsid w:val="008E36E7"/>
    <w:rsid w:val="008E7C09"/>
    <w:rsid w:val="00924544"/>
    <w:rsid w:val="00936B75"/>
    <w:rsid w:val="00967AB1"/>
    <w:rsid w:val="00975824"/>
    <w:rsid w:val="009B3DBA"/>
    <w:rsid w:val="009F5A0B"/>
    <w:rsid w:val="00A0498D"/>
    <w:rsid w:val="00A35BA3"/>
    <w:rsid w:val="00A51764"/>
    <w:rsid w:val="00A52C27"/>
    <w:rsid w:val="00A80B27"/>
    <w:rsid w:val="00AC7761"/>
    <w:rsid w:val="00AD16F2"/>
    <w:rsid w:val="00AE04A7"/>
    <w:rsid w:val="00B1319B"/>
    <w:rsid w:val="00B6254E"/>
    <w:rsid w:val="00B70107"/>
    <w:rsid w:val="00B95E8C"/>
    <w:rsid w:val="00B968E1"/>
    <w:rsid w:val="00BA529A"/>
    <w:rsid w:val="00BC7DA1"/>
    <w:rsid w:val="00BE07C2"/>
    <w:rsid w:val="00C1130F"/>
    <w:rsid w:val="00C17D2C"/>
    <w:rsid w:val="00C43E44"/>
    <w:rsid w:val="00C7256D"/>
    <w:rsid w:val="00C77AAE"/>
    <w:rsid w:val="00CB291C"/>
    <w:rsid w:val="00CB4B42"/>
    <w:rsid w:val="00CE2C9C"/>
    <w:rsid w:val="00CE6B58"/>
    <w:rsid w:val="00D43928"/>
    <w:rsid w:val="00D4672B"/>
    <w:rsid w:val="00D53822"/>
    <w:rsid w:val="00D66320"/>
    <w:rsid w:val="00D95373"/>
    <w:rsid w:val="00DF2262"/>
    <w:rsid w:val="00E048CE"/>
    <w:rsid w:val="00E170A9"/>
    <w:rsid w:val="00E54D0A"/>
    <w:rsid w:val="00E611B6"/>
    <w:rsid w:val="00E66A89"/>
    <w:rsid w:val="00E676A1"/>
    <w:rsid w:val="00E8287E"/>
    <w:rsid w:val="00EA3FF0"/>
    <w:rsid w:val="00EB2F87"/>
    <w:rsid w:val="00EB655F"/>
    <w:rsid w:val="00EC0BEF"/>
    <w:rsid w:val="00EC27BD"/>
    <w:rsid w:val="00EE0C3B"/>
    <w:rsid w:val="00F044C2"/>
    <w:rsid w:val="00F100C9"/>
    <w:rsid w:val="00F139ED"/>
    <w:rsid w:val="00F154D4"/>
    <w:rsid w:val="00F524C9"/>
    <w:rsid w:val="00F77857"/>
    <w:rsid w:val="00F846F1"/>
    <w:rsid w:val="00F87DDB"/>
    <w:rsid w:val="00FD1D75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50664"/>
  <w15:docId w15:val="{A75EFC24-B59B-40B4-824D-93721667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0C7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 w:val="0"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eastAsia="Times New Roman" w:cstheme="minorHAnsi"/>
      <w:b/>
      <w:bCs/>
      <w:snapToGrid w:val="0"/>
      <w:kern w:val="32"/>
      <w:lang w:val="en-US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Times New Roman" w:eastAsia="Times New Roman" w:hAnsi="Times New Roman" w:cs="Arial"/>
      <w:b/>
      <w:bCs/>
      <w:iCs/>
      <w:snapToGrid w:val="0"/>
      <w:sz w:val="24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qFormat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Arial"/>
      <w:b/>
      <w:bCs/>
      <w:snapToGrid w:val="0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5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A11BE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eastAsia="Times New Roman" w:cs="Arial"/>
      <w:b/>
      <w:bCs/>
      <w:snapToGrid w:val="0"/>
      <w:kern w:val="28"/>
      <w:sz w:val="28"/>
      <w:szCs w:val="32"/>
      <w:lang w:val="en-US"/>
    </w:rPr>
  </w:style>
  <w:style w:type="character" w:customStyle="1" w:styleId="TitelZchn">
    <w:name w:val="Titel Zchn"/>
    <w:basedOn w:val="Absatz-Standardschriftart"/>
    <w:link w:val="Titel"/>
    <w:rsid w:val="008A11BE"/>
    <w:rPr>
      <w:rFonts w:eastAsia="Times New Roman" w:cs="Arial"/>
      <w:b/>
      <w:bCs/>
      <w:snapToGrid w:val="0"/>
      <w:kern w:val="28"/>
      <w:sz w:val="28"/>
      <w:szCs w:val="32"/>
      <w:lang w:val="en-US"/>
    </w:rPr>
  </w:style>
  <w:style w:type="paragraph" w:styleId="Funotentext">
    <w:name w:val="footnote text"/>
    <w:basedOn w:val="Standard"/>
    <w:link w:val="FunotentextZchn"/>
    <w:semiHidden/>
    <w:pPr>
      <w:widowControl w:val="0"/>
      <w:wordWrap w:val="0"/>
      <w:autoSpaceDE w:val="0"/>
      <w:autoSpaceDN w:val="0"/>
      <w:spacing w:after="0" w:line="280" w:lineRule="exact"/>
    </w:pPr>
    <w:rPr>
      <w:rFonts w:ascii="Times New Roman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Times New Roman" w:eastAsia="Batang" w:hAnsi="Times New Roman" w:cs="Times New Roman"/>
      <w:kern w:val="2"/>
      <w:sz w:val="20"/>
      <w:szCs w:val="20"/>
      <w:lang w:val="en-US" w:eastAsia="ko-KR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="Times New Roman" w:cstheme="minorHAnsi"/>
      <w:b/>
      <w:bCs/>
      <w:snapToGrid w:val="0"/>
      <w:kern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Pr>
      <w:rFonts w:ascii="Times New Roman" w:eastAsia="Times New Roman" w:hAnsi="Times New Roman" w:cs="Arial"/>
      <w:b/>
      <w:bCs/>
      <w:iCs/>
      <w:snapToGrid w:val="0"/>
      <w:sz w:val="24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Pr>
      <w:rFonts w:ascii="Times New Roman" w:eastAsia="Times New Roman" w:hAnsi="Times New Roman" w:cs="Arial"/>
      <w:b/>
      <w:bCs/>
      <w:snapToGrid w:val="0"/>
      <w:szCs w:val="26"/>
      <w:lang w:val="en-US"/>
    </w:rPr>
  </w:style>
  <w:style w:type="paragraph" w:styleId="Textkrper3">
    <w:name w:val="Body Text 3"/>
    <w:basedOn w:val="Standard"/>
    <w:link w:val="Textkrper3Zchn"/>
    <w:pPr>
      <w:wordWrap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kern w:val="2"/>
      <w:sz w:val="24"/>
      <w:szCs w:val="24"/>
      <w:lang w:val="en-US" w:eastAsia="ko-KR"/>
    </w:rPr>
  </w:style>
  <w:style w:type="character" w:customStyle="1" w:styleId="Textkrper3Zchn">
    <w:name w:val="Textkörper 3 Zchn"/>
    <w:basedOn w:val="Absatz-Standardschriftart"/>
    <w:link w:val="Textkrper3"/>
    <w:rPr>
      <w:rFonts w:ascii="Times New Roman" w:eastAsia="Batang" w:hAnsi="Times New Roman" w:cs="Times New Roman"/>
      <w:kern w:val="2"/>
      <w:sz w:val="24"/>
      <w:szCs w:val="24"/>
      <w:lang w:val="en-US" w:eastAsia="ko-KR"/>
    </w:rPr>
  </w:style>
  <w:style w:type="paragraph" w:styleId="StandardWeb">
    <w:name w:val="Normal (Web)"/>
    <w:basedOn w:val="Standard"/>
    <w:pPr>
      <w:spacing w:before="100" w:beforeAutospacing="1" w:after="100" w:afterAutospacing="1" w:line="280" w:lineRule="exact"/>
    </w:pPr>
    <w:rPr>
      <w:rFonts w:ascii="Batang" w:eastAsia="Batang" w:hAnsi="Batang" w:cs="Times New Roman"/>
      <w:color w:val="000000"/>
      <w:sz w:val="24"/>
      <w:szCs w:val="24"/>
      <w:lang w:val="en-US"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paragraph" w:customStyle="1" w:styleId="SWINTHText">
    <w:name w:val="SWINTH Text"/>
    <w:basedOn w:val="Standard"/>
    <w:qFormat/>
    <w:rsid w:val="00056371"/>
    <w:pPr>
      <w:spacing w:after="0" w:line="240" w:lineRule="auto"/>
    </w:pPr>
    <w:rPr>
      <w:rFonts w:eastAsia="Times New Roman" w:cs="Arial"/>
      <w:szCs w:val="26"/>
      <w:lang w:val="en-US" w:eastAsia="de-DE"/>
    </w:rPr>
  </w:style>
  <w:style w:type="paragraph" w:customStyle="1" w:styleId="SWINTHSubheading">
    <w:name w:val="SWINTH Subheading"/>
    <w:basedOn w:val="Standard"/>
    <w:qFormat/>
    <w:rsid w:val="007F7225"/>
    <w:pPr>
      <w:spacing w:after="0" w:line="240" w:lineRule="auto"/>
    </w:pPr>
    <w:rPr>
      <w:rFonts w:ascii="Calibri" w:eastAsia="Times New Roman" w:hAnsi="Calibri" w:cs="Arial"/>
      <w:b/>
      <w:szCs w:val="26"/>
      <w:lang w:val="en-US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C17D2C"/>
    <w:pPr>
      <w:spacing w:after="0" w:line="240" w:lineRule="auto"/>
      <w:jc w:val="center"/>
    </w:pPr>
    <w:rPr>
      <w:b/>
      <w:bCs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936B75"/>
    <w:pPr>
      <w:spacing w:after="0"/>
      <w:ind w:left="720"/>
      <w:contextualSpacing/>
    </w:pPr>
    <w:rPr>
      <w:lang w:val="en-US"/>
    </w:rPr>
  </w:style>
  <w:style w:type="character" w:styleId="Platzhaltertext">
    <w:name w:val="Placeholder Text"/>
    <w:basedOn w:val="Absatz-Standardschriftart"/>
    <w:uiPriority w:val="99"/>
    <w:semiHidden/>
    <w:rsid w:val="00B1319B"/>
    <w:rPr>
      <w:color w:val="808080"/>
    </w:rPr>
  </w:style>
  <w:style w:type="paragraph" w:styleId="Literaturverzeichnis">
    <w:name w:val="Bibliography"/>
    <w:basedOn w:val="Standard"/>
    <w:next w:val="Standard"/>
    <w:uiPriority w:val="37"/>
    <w:unhideWhenUsed/>
    <w:rsid w:val="001F4849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5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Wat99</b:Tag>
    <b:SourceType>JournalArticle</b:SourceType>
    <b:Guid>{39E8801C-0FD1-4F25-BE28-F5628D6D7772}</b:Guid>
    <b:Title>Influence of flow velocity and fin spacing on the forced convection heat transfer from an annular-finned tube</b:Title>
    <b:Year>1999</b:Year>
    <b:Volume>42</b:Volume>
    <b:Author>
      <b:Author>
        <b:NameList>
          <b:Person>
            <b:Last>Watel</b:Last>
            <b:First>B.</b:First>
          </b:Person>
          <b:Person>
            <b:Last>Harmand</b:Last>
            <b:First>S.</b:First>
          </b:Person>
          <b:Person>
            <b:Last>Desmet</b:Last>
            <b:First>B.</b:First>
          </b:Person>
        </b:NameList>
      </b:Author>
    </b:Author>
    <b:Pages>56-64</b:Pages>
    <b:JournalName>The Japan Society of Mechanical Engineers</b:JournalName>
    <b:RefOrder>11</b:RefOrder>
  </b:Source>
  <b:Source>
    <b:Tag>Ham08</b:Tag>
    <b:SourceType>Patent</b:SourceType>
    <b:Guid>{B2449A28-D70C-4DAC-88C3-B8F851F967AB}</b:Guid>
    <b:Title>Anordnung zur zweidimensionalen Messung des Geschwindigkeitsfeldes in Strömungen</b:Title>
    <b:Year>2008</b:Year>
    <b:PatentNumber>DE102007019927</b:PatentNumber>
    <b:Author>
      <b:Inventor>
        <b:NameList>
          <b:Person>
            <b:Last>Hampel</b:Last>
            <b:First>U.</b:First>
          </b:Person>
        </b:NameList>
      </b:Inventor>
    </b:Author>
    <b:RefOrder>20</b:RefOrder>
  </b:Source>
  <b:Source>
    <b:Tag>Hun13</b:Tag>
    <b:SourceType>JournalArticle</b:SourceType>
    <b:Guid>{78424F00-069F-403C-AC00-34DD7A3E14FF}</b:Guid>
    <b:Title>The development of three-dimentional transient CFD model for predicting cooling ability of spent fuel pool</b:Title>
    <b:PeriodicalTitle>Applied Thermal Engineering</b:PeriodicalTitle>
    <b:Year>2013</b:Year>
    <b:Volume>50</b:Volume>
    <b:Author>
      <b:Author>
        <b:NameList>
          <b:Person>
            <b:Last>Hung</b:Last>
            <b:First>Tzu-Chen</b:First>
          </b:Person>
          <b:Person>
            <b:Last>Dhir</b:Last>
            <b:First>V. K.</b:First>
          </b:Person>
          <b:Person>
            <b:Last>Pei</b:Last>
            <b:First>B.-S.</b:First>
          </b:Person>
          <b:Person>
            <b:Last>Chen</b:Last>
            <b:First>Y.-S.</b:First>
          </b:Person>
          <b:Person>
            <b:Last>Tsai</b:Last>
            <b:First>F. P.</b:First>
          </b:Person>
        </b:NameList>
      </b:Author>
    </b:Author>
    <b:Pages>496-504</b:Pages>
    <b:JournalName>Applied Thermal Engineering</b:JournalName>
    <b:RefOrder>4</b:RefOrder>
  </b:Source>
  <b:Source>
    <b:Tag>Ayh</b:Tag>
    <b:SourceType>JournalArticle</b:SourceType>
    <b:Guid>{6466D837-16DF-48C6-BFCF-29A06E84FA0D}</b:Guid>
    <b:Title>Investigation of passive residual heat removal system for VVERs: Effect of finned type heat exchanger tubes</b:Title>
    <b:Author>
      <b:Author>
        <b:NameList>
          <b:Person>
            <b:Last>Ayhan</b:Last>
            <b:First>H.</b:First>
          </b:Person>
          <b:Person>
            <b:Last>Sökmen</b:Last>
            <b:First>C.N.</b:First>
          </b:Person>
        </b:NameList>
      </b:Author>
    </b:Author>
    <b:PeriodicalTitle>Applied Thermal Engineering</b:PeriodicalTitle>
    <b:Year>2016</b:Year>
    <b:Pages>466-474</b:Pages>
    <b:JournalName>Applied Thermal Engineering</b:JournalName>
    <b:Volume>108</b:Volume>
    <b:RefOrder>3</b:RefOrder>
  </b:Source>
  <b:Source>
    <b:Tag>YeC13</b:Tag>
    <b:SourceType>JournalArticle</b:SourceType>
    <b:Guid>{7D2E00EB-CE56-4FB2-BD3D-293A2B6CA899}</b:Guid>
    <b:Title>The design and simulation of a new spent fuel pool passive cooling system</b:Title>
    <b:PeriodicalTitle>Annals of Nuclear Energy</b:PeriodicalTitle>
    <b:Year>2013</b:Year>
    <b:Pages>124-131</b:Pages>
    <b:Author>
      <b:Author>
        <b:NameList>
          <b:Person>
            <b:Last>Ye</b:Last>
            <b:First>C.</b:First>
          </b:Person>
          <b:Person>
            <b:Last>Zheng</b:Last>
            <b:Middle>G.</b:Middle>
            <b:First>M.</b:First>
          </b:Person>
          <b:Person>
            <b:Last>Wang</b:Last>
            <b:Middle>L.</b:Middle>
            <b:First>M.</b:First>
          </b:Person>
          <b:Person>
            <b:Last>Zhang</b:Last>
            <b:Middle>H.</b:Middle>
            <b:First>R.</b:First>
          </b:Person>
          <b:Person>
            <b:Last>Xiong</b:Last>
            <b:Middle>Q.</b:Middle>
            <b:First>Z.</b:First>
          </b:Person>
        </b:NameList>
      </b:Author>
    </b:Author>
    <b:Volume>58</b:Volume>
    <b:JournalName>Annals of Nuclear Energy</b:JournalName>
    <b:RefOrder>2</b:RefOrder>
  </b:Source>
  <b:Source>
    <b:Tag>Mer121</b:Tag>
    <b:SourceType>JournalArticle</b:SourceType>
    <b:Guid>{FFB04697-D1A5-4DC4-8559-F42106CC5D26}</b:Guid>
    <b:Title>Numerical Simulation of a completely passive spent fuel pool: lessons learned</b:Title>
    <b:PeriodicalTitle>Proceedings of the 2012 20th International Conference on Nuclear Engineering</b:PeriodicalTitle>
    <b:City>California, USA</b:City>
    <b:Year>2012</b:Year>
    <b:Author>
      <b:Author>
        <b:NameList>
          <b:Person>
            <b:Last>Merzari</b:Last>
            <b:First>Elia</b:First>
          </b:Person>
          <b:Person>
            <b:Last>Gohar</b:Last>
            <b:First>Yousry</b:First>
          </b:Person>
        </b:NameList>
      </b:Author>
    </b:Author>
    <b:Issue>553-561</b:Issue>
    <b:JournalName>Proceedings of the 2012 20th International Conference on Nuclear Engineering</b:JournalName>
    <b:RefOrder>1</b:RefOrder>
  </b:Source>
  <b:Source>
    <b:Tag>Xio14</b:Tag>
    <b:SourceType>JournalArticle</b:SourceType>
    <b:Guid>{94A35B64-16AF-41C3-AF43-5A4FB5AC1ABA}</b:Guid>
    <b:Title>The thermal performance of a loop-type heat pipe for passively removing residual heat from spent fuel pool</b:Title>
    <b:Year>2014</b:Year>
    <b:Pages>262-268</b:Pages>
    <b:Author>
      <b:Author>
        <b:NameList>
          <b:Person>
            <b:Last>Xiong</b:Last>
            <b:First>Z.</b:First>
          </b:Person>
          <b:Person>
            <b:Last>Gu</b:Last>
            <b:First>H.</b:First>
          </b:Person>
          <b:Person>
            <b:Last>Wang</b:Last>
            <b:First>M.</b:First>
          </b:Person>
          <b:Person>
            <b:Last>Cheng</b:Last>
            <b:First>Y.</b:First>
          </b:Person>
        </b:NameList>
      </b:Author>
    </b:Author>
    <b:JournalName>Nuclear Engineering and Design</b:JournalName>
    <b:Volume>280</b:Volume>
    <b:RefOrder>5</b:RefOrder>
  </b:Source>
  <b:Source>
    <b:Tag>Xio151</b:Tag>
    <b:SourceType>JournalArticle</b:SourceType>
    <b:Guid>{86DA894C-97C4-452B-9DD5-0043DB700327}</b:Guid>
    <b:Title>Experimental study on the sub-atmospheric loop heat pipe passive cooling system for spent fuel pool</b:Title>
    <b:Year>2015</b:Year>
    <b:Author>
      <b:Author>
        <b:NameList>
          <b:Person>
            <b:Last>Xiong</b:Last>
            <b:First>Z.</b:First>
          </b:Person>
          <b:Person>
            <b:Last>Ye</b:Last>
            <b:First>C.</b:First>
          </b:Person>
          <b:Person>
            <b:Last>Wang</b:Last>
            <b:First>M.</b:First>
          </b:Person>
          <b:Person>
            <b:Last>Gu</b:Last>
            <b:First>H</b:First>
          </b:Person>
        </b:NameList>
      </b:Author>
    </b:Author>
    <b:PeriodicalTitle>Progress in Nuclear Energy</b:PeriodicalTitle>
    <b:Pages>40-47</b:Pages>
    <b:JournalName>Progress in Nuclear Energy</b:JournalName>
    <b:Volume>79</b:Volume>
    <b:RefOrder>6</b:RefOrder>
  </b:Source>
  <b:Source>
    <b:Tag>Bas14</b:Tag>
    <b:SourceType>JournalArticle</b:SourceType>
    <b:Guid>{8A2D147E-B59A-4BC4-AEB8-0E53DEEB3A6F}</b:Guid>
    <b:Title>A review of modern advances in analyses and applications of single-phase natural circulation loop in nuclear thermal hydraulics</b:Title>
    <b:PeriodicalTitle>Nuclear Engineering and Design</b:PeriodicalTitle>
    <b:Year>2014</b:Year>
    <b:Author>
      <b:Author>
        <b:NameList>
          <b:Person>
            <b:Last>Basu</b:Last>
            <b:Middle>N.</b:Middle>
            <b:First>Dipankar</b:First>
          </b:Person>
          <b:Person>
            <b:Last>Bhattacharyya</b:Last>
            <b:First>Souvik</b:First>
          </b:Person>
          <b:Person>
            <b:Last>Das</b:Last>
            <b:Middle>K.</b:Middle>
            <b:First>P.</b:First>
          </b:Person>
        </b:NameList>
      </b:Author>
    </b:Author>
    <b:Pages>326-348</b:Pages>
    <b:JournalName>Nuclear Engineering and Design</b:JournalName>
    <b:Volume>280</b:Volume>
    <b:RefOrder>7</b:RefOrder>
  </b:Source>
  <b:Source>
    <b:Tag>Fuc15</b:Tag>
    <b:SourceType>JournalArticle</b:SourceType>
    <b:Guid>{AC7F03F2-23ED-40C8-86F5-74D73D359278}</b:Guid>
    <b:Title>Passive cooling systems for spent fuel pools</b:Title>
    <b:PeriodicalTitle>Nuclear Engineering International</b:PeriodicalTitle>
    <b:Year>2015</b:Year>
    <b:Pages>35-37</b:Pages>
    <b:Author>
      <b:Author>
        <b:NameList>
          <b:Person>
            <b:Last>Fuchs</b:Last>
            <b:First>T.</b:First>
          </b:Person>
          <b:Person>
            <b:Last>Trewin</b:Last>
            <b:First>R.</b:First>
          </b:Person>
          <b:Person>
            <b:Last>Reck</b:Last>
            <b:First>M.</b:First>
          </b:Person>
          <b:Person>
            <b:Last>Ornot</b:Last>
            <b:First>L.</b:First>
          </b:Person>
        </b:NameList>
      </b:Author>
    </b:Author>
    <b:JournalName>Nuclear Engineering International</b:JournalName>
    <b:RefOrder>8</b:RefOrder>
  </b:Source>
  <b:Source>
    <b:Tag>LuD</b:Tag>
    <b:SourceType>JournalArticle</b:SourceType>
    <b:Guid>{6F61FF19-0B75-48A8-ADF4-3F9800AD8911}</b:Guid>
    <b:Title>Experimental investigation on natural convection heat transfer characteristics of C-shape heating rods bundle used in PRHR HX</b:Title>
    <b:Author>
      <b:Author>
        <b:NameList>
          <b:Person>
            <b:Last>Lu</b:Last>
            <b:First>D.</b:First>
          </b:Person>
          <b:Person>
            <b:Last>Zhang</b:Last>
            <b:First>Y.</b:First>
          </b:Person>
          <b:Person>
            <b:Last>Fu</b:Last>
            <b:First>X.</b:First>
          </b:Person>
          <b:Person>
            <b:Last>Wang</b:Last>
            <b:First>Z.</b:First>
          </b:Person>
          <b:Person>
            <b:Last>Cao</b:Last>
            <b:First>Q.</b:First>
          </b:Person>
          <b:Person>
            <b:Last>Yang</b:Last>
            <b:First>Y.</b:First>
          </b:Person>
        </b:NameList>
      </b:Author>
    </b:Author>
    <b:PeriodicalTitle>Annals of Nuclear Energy</b:PeriodicalTitle>
    <b:Year>2016</b:Year>
    <b:Pages>226-238</b:Pages>
    <b:JournalName>Annals of Nuclear Energy</b:JournalName>
    <b:Volume>98</b:Volume>
    <b:RefOrder>9</b:RefOrder>
  </b:Source>
  <b:Source>
    <b:Tag>Oer19</b:Tag>
    <b:SourceType>JournalArticle</b:SourceType>
    <b:Guid>{53EAA3BA-A4A8-432C-A6D0-56440E85E441}</b:Guid>
    <b:Title>Two-scale CFD analysis of a spent fuel pool involving partially uncovered fuel storage racks</b:Title>
    <b:PeriodicalTitle>Nuclear engineering and Design</b:PeriodicalTitle>
    <b:Year>2019</b:Year>
    <b:Pages>432-450</b:Pages>
    <b:Author>
      <b:Author>
        <b:NameList>
          <b:Person>
            <b:Last>Oertel</b:Last>
            <b:First>R.</b:First>
          </b:Person>
          <b:Person>
            <b:Last>Hanisch</b:Last>
            <b:First>T.</b:First>
          </b:Person>
          <b:Person>
            <b:Last>Krepper</b:Last>
            <b:First>E.</b:First>
          </b:Person>
          <b:Person>
            <b:Last>Lucas</b:Last>
            <b:First>D.</b:First>
          </b:Person>
          <b:Person>
            <b:Last>Rüdiger</b:Last>
            <b:First>F.</b:First>
          </b:Person>
          <b:Person>
            <b:Last>Fröhlich</b:Last>
            <b:First>J.</b:First>
          </b:Person>
        </b:NameList>
      </b:Author>
    </b:Author>
    <b:JournalName>Nuclear engineering and Design</b:JournalName>
    <b:Volume>341</b:Volume>
    <b:RefOrder>10</b:RefOrder>
  </b:Source>
  <b:Source>
    <b:Tag>Yag13</b:Tag>
    <b:SourceType>JournalArticle</b:SourceType>
    <b:Guid>{F42CA819-8E21-4D30-9C6E-CCD22B9993E1}</b:Guid>
    <b:Title>An investiagtion of natural convection heat transfer from a horizontal cooled finend tube</b:Title>
    <b:PeriodicalTitle>Experimental Heat transfer</b:PeriodicalTitle>
    <b:Year>2013</b:Year>
    <b:Author>
      <b:Author>
        <b:NameList>
          <b:Person>
            <b:Last>Yaghoubi</b:Last>
            <b:First>M.</b:First>
          </b:Person>
          <b:Person>
            <b:Last>Mahdavi</b:Last>
            <b:First>M.</b:First>
          </b:Person>
        </b:NameList>
      </b:Author>
    </b:Author>
    <b:Pages>343-359</b:Pages>
    <b:JournalName>Experimental Heat transfer</b:JournalName>
    <b:Volume>26</b:Volume>
    <b:RefOrder>12</b:RefOrder>
  </b:Source>
  <b:Source>
    <b:Tag>Ars11</b:Tag>
    <b:SourceType>JournalArticle</b:SourceType>
    <b:Guid>{847B5D80-D471-4077-A930-EE942F93E9EB}</b:Guid>
    <b:Title>Experimental study of natural convection heat transfer from an enclosed assembly of thin vertical cylinders</b:Title>
    <b:PeriodicalTitle>Applied Thermal Engineering</b:PeriodicalTitle>
    <b:Year>2011</b:Year>
    <b:Author>
      <b:Author>
        <b:NameList>
          <b:Person>
            <b:Last>Arshad</b:Last>
            <b:First>M.</b:First>
          </b:Person>
          <b:Person>
            <b:Last>Inayat</b:Last>
            <b:First>M. H.</b:First>
          </b:Person>
          <b:Person>
            <b:Last>Chughtai</b:Last>
            <b:First>I. R.</b:First>
          </b:Person>
        </b:NameList>
      </b:Author>
    </b:Author>
    <b:Pages>20-27</b:Pages>
    <b:JournalName>Applied Thermal Engineering</b:JournalName>
    <b:Volume>31</b:Volume>
    <b:RefOrder>13</b:RefOrder>
  </b:Source>
  <b:Source>
    <b:Tag>Ben</b:Tag>
    <b:SourceType>JournalArticle</b:SourceType>
    <b:Guid>{FBAAB675-CD43-4964-BB20-8B5472F48364}</b:Guid>
    <b:Author>
      <b:Author>
        <b:NameList>
          <b:Person>
            <b:Last>Bencs</b:Last>
            <b:First>P.</b:First>
          </b:Person>
          <b:Person>
            <b:Last>Szabo</b:Last>
            <b:First>S.</b:First>
          </b:Person>
          <b:Person>
            <b:Last>Oertel</b:Last>
            <b:First>D.</b:First>
          </b:Person>
        </b:NameList>
      </b:Author>
    </b:Author>
    <b:Title>Simultaneous measurement of velocity and temperature field downstream of a heated cylinder</b:Title>
    <b:PeriodicalTitle>Engineering Review</b:PeriodicalTitle>
    <b:Year>2014</b:Year>
    <b:Pages>7-13</b:Pages>
    <b:JournalName>Engineering Review</b:JournalName>
    <b:Volume>34 (1)</b:Volume>
    <b:RefOrder>14</b:RefOrder>
  </b:Source>
  <b:Source>
    <b:Tag>Fun02</b:Tag>
    <b:SourceType>JournalArticle</b:SourceType>
    <b:Guid>{BDCCEA01-8A2B-49DC-831F-7A197E801C00}</b:Guid>
    <b:Title>Simultaneous measurement of temperature and three velocity components in planar cross section by liquid-crystal thermometry combined with stereoscopic particle image velocimetry</b:Title>
    <b:PeriodicalTitle>Measurement Science and Technology</b:PeriodicalTitle>
    <b:Year>2002</b:Year>
    <b:Author>
      <b:Author>
        <b:NameList>
          <b:Person>
            <b:Last>Funatani</b:Last>
            <b:First>S.</b:First>
          </b:Person>
          <b:Person>
            <b:Last>Fujisawa</b:Last>
            <b:First>N.</b:First>
          </b:Person>
        </b:NameList>
      </b:Author>
    </b:Author>
    <b:Pages>1197</b:Pages>
    <b:JournalName>Measurement Science and Technology</b:JournalName>
    <b:Volume>13</b:Volume>
    <b:RefOrder>15</b:RefOrder>
  </b:Source>
  <b:Source>
    <b:Tag>Ide</b:Tag>
    <b:SourceType>JournalArticle</b:SourceType>
    <b:Guid>{900BBEE6-7F6E-4960-A09C-6C1D8E27516E}</b:Guid>
    <b:Title>Heat Transfer Characterization of a Finned-Tube Heat Exchanger (With and Without Condensation)</b:Title>
    <b:PeriodicalTitle>Journal of Heat Transfer</b:PeriodicalTitle>
    <b:Pages>64-70</b:Pages>
    <b:Author>
      <b:Author>
        <b:NameList>
          <b:Person>
            <b:Last>Idem</b:Last>
            <b:First>S.A.</b:First>
          </b:Person>
          <b:Person>
            <b:Last>Jacobi</b:Last>
            <b:First>A.M.</b:First>
          </b:Person>
          <b:Person>
            <b:Last>Goldschmid</b:Last>
            <b:First>V.W.</b:First>
          </b:Person>
        </b:NameList>
      </b:Author>
    </b:Author>
    <b:Year>2008</b:Year>
    <b:JournalName>Journal of Heat Transfer</b:JournalName>
    <b:Volume>112(1)</b:Volume>
    <b:RefOrder>16</b:RefOrder>
  </b:Source>
  <b:Source>
    <b:Tag>Rit</b:Tag>
    <b:SourceType>JournalArticle</b:SourceType>
    <b:Guid>{3BDB2449-3FBD-4AAB-9B6E-87DE3D626EDE}</b:Guid>
    <b:Title>Thermo-resistive mesh sensors (TMS) for temperature field measurements</b:Title>
    <b:Author>
      <b:Author>
        <b:NameList>
          <b:Person>
            <b:Last>Ritterath</b:Last>
            <b:First>M.</b:First>
          </b:Person>
          <b:Person>
            <b:Last>Öztürk</b:Last>
            <b:First>O.C.</b:First>
          </b:Person>
          <b:Person>
            <b:Last>Prasser</b:Last>
            <b:First>H.M.</b:First>
          </b:Person>
        </b:NameList>
      </b:Author>
    </b:Author>
    <b:PeriodicalTitle>Flow measurement and instrumentation</b:PeriodicalTitle>
    <b:Year>2011</b:Year>
    <b:Pages>343-349</b:Pages>
    <b:JournalName>Flow measurement and instrumentation</b:JournalName>
    <b:Volume>22</b:Volume>
    <b:RefOrder>17</b:RefOrder>
  </b:Source>
  <b:Source>
    <b:Tag>Sch13</b:Tag>
    <b:SourceType>JournalArticle</b:SourceType>
    <b:Guid>{47C33BF4-6709-46E0-A22A-0EA1E2A59B08}</b:Guid>
    <b:Title>Temperature Grid Sensor for the Measurement of Spatial Temperature Distributions at Object Surfaces</b:Title>
    <b:PeriodicalTitle>Sensors</b:PeriodicalTitle>
    <b:Year>2013</b:Year>
    <b:Pages>1593-1602</b:Pages>
    <b:Author>
      <b:Author>
        <b:NameList>
          <b:Person>
            <b:Last>Schäfer</b:Last>
            <b:First>T.</b:First>
          </b:Person>
          <b:Person>
            <b:Last>Schubert</b:Last>
            <b:First>M.</b:First>
          </b:Person>
          <b:Person>
            <b:Last>Hampel</b:Last>
            <b:First>U.</b:First>
          </b:Person>
        </b:NameList>
      </b:Author>
    </b:Author>
    <b:JournalName>Sensors</b:JournalName>
    <b:Volume>13</b:Volume>
    <b:RefOrder>18</b:RefOrder>
  </b:Source>
  <b:Source>
    <b:Tag>Arl17</b:Tag>
    <b:SourceType>JournalArticle</b:SourceType>
    <b:Guid>{9EFCA94F-287B-4502-BFB4-9AEF6BDD9A3C}</b:Guid>
    <b:Title>Thermal Anemometry Grid Sensor</b:Title>
    <b:PeriodicalTitle>Sensors</b:PeriodicalTitle>
    <b:Year>2017</b:Year>
    <b:Author>
      <b:Author>
        <b:NameList>
          <b:Person>
            <b:Last>Arlit</b:Last>
            <b:First>M.</b:First>
          </b:Person>
          <b:Person>
            <b:Last>Schleicher</b:Last>
            <b:First>E.</b:First>
          </b:Person>
          <b:Person>
            <b:Last>Hampel</b:Last>
            <b:First>U.</b:First>
          </b:Person>
        </b:NameList>
      </b:Author>
    </b:Author>
    <b:JournalName>Sensors</b:JournalName>
    <b:Volume>17</b:Volume>
    <b:RefOrder>19</b:RefOrder>
  </b:Source>
  <b:Source>
    <b:Tag>Arl18</b:Tag>
    <b:SourceType>JournalArticle</b:SourceType>
    <b:Guid>{2C6FDC6F-99CA-409F-9FD0-0D6922E8DDEB}</b:Guid>
    <b:Title>Instrumentation for experiments on a fuel element mock-up for the study of thermal hydraulics for loss of cooling or coolant scenarios in spent fuel pools</b:Title>
    <b:PeriodicalTitle>Nuclear Engineering and Design</b:PeriodicalTitle>
    <b:Year>2018</b:Year>
    <b:Pages>105-111</b:Pages>
    <b:Author>
      <b:Author>
        <b:NameList>
          <b:Person>
            <b:Last>Arlit</b:Last>
            <b:First>M.</b:First>
          </b:Person>
          <b:Person>
            <b:Last>Partmann</b:Last>
            <b:First>C.</b:First>
          </b:Person>
          <b:Person>
            <b:Last>Schleicher</b:Last>
            <b:First>E.</b:First>
          </b:Person>
        </b:NameList>
      </b:Author>
    </b:Author>
    <b:JournalName>Nuclear Engineering and Design</b:JournalName>
    <b:Volume>336</b:Volume>
    <b:RefOrder>21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8DA6DED8164D469DB2972074859B57" ma:contentTypeVersion="18" ma:contentTypeDescription="Ein neues Dokument erstellen." ma:contentTypeScope="" ma:versionID="3c0e06d0ae86d3459b975504e521315d">
  <xsd:schema xmlns:xsd="http://www.w3.org/2001/XMLSchema" xmlns:xs="http://www.w3.org/2001/XMLSchema" xmlns:p="http://schemas.microsoft.com/office/2006/metadata/properties" xmlns:ns2="ee7a3f07-f920-473d-8ace-d059ac70c890" xmlns:ns3="6325b798-e2ef-461c-873a-7c2c81cc8c46" targetNamespace="http://schemas.microsoft.com/office/2006/metadata/properties" ma:root="true" ma:fieldsID="3411b3682b7e4647ef31c28c7dfaaa15" ns2:_="" ns3:_="">
    <xsd:import namespace="ee7a3f07-f920-473d-8ace-d059ac70c890"/>
    <xsd:import namespace="6325b798-e2ef-461c-873a-7c2c81cc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3f07-f920-473d-8ace-d059ac70c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31c44e6-fe3a-48e4-b4a0-d2a855a59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5b798-e2ef-461c-873a-7c2c81cc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45c57e-e85f-475b-a3f8-85b290db80cb}" ma:internalName="TaxCatchAll" ma:showField="CatchAllData" ma:web="6325b798-e2ef-461c-873a-7c2c81cc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1A408-B559-4BF8-9436-21EB626E1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27000-A055-4D2E-B7BB-870BF98D5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CC6A1-DBCD-4464-A8C5-5BCB11C0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a3f07-f920-473d-8ace-d059ac70c890"/>
    <ds:schemaRef ds:uri="6325b798-e2ef-461c-873a-7c2c81cc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K. Groß I K.I.T. Group GmbH Dresden</cp:lastModifiedBy>
  <cp:revision>5</cp:revision>
  <cp:lastPrinted>2023-04-20T12:11:00Z</cp:lastPrinted>
  <dcterms:created xsi:type="dcterms:W3CDTF">2024-04-17T07:24:00Z</dcterms:created>
  <dcterms:modified xsi:type="dcterms:W3CDTF">2024-04-17T07:28:00Z</dcterms:modified>
</cp:coreProperties>
</file>